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1D98" w14:textId="77777777" w:rsidR="00454CA3" w:rsidRDefault="00454CA3" w:rsidP="00454CA3">
      <w:r>
        <w:t>The importance of a viable, safe, sustainable and efficient road transport industry, with particular regard to:</w:t>
      </w:r>
    </w:p>
    <w:p w14:paraId="0594537F" w14:textId="77777777" w:rsidR="00454CA3" w:rsidRDefault="00454CA3" w:rsidP="00454CA3"/>
    <w:p w14:paraId="2653EB9B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importance of an enforceable minimum award rate and sustainable standards and conditions for all stakeholders in the road transport industry;</w:t>
      </w:r>
    </w:p>
    <w:p w14:paraId="7C82632F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development and maintenance of road transport infrastructure to ensure a safe, and efficient road transport industry;</w:t>
      </w:r>
    </w:p>
    <w:p w14:paraId="31240606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regulatory impact, including appropriateness, relevance and adequacy of the legislative framework, on all stakeholders in the road transport industry;</w:t>
      </w:r>
    </w:p>
    <w:p w14:paraId="4E07E913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training and career pathways to support, develop and sustain the road transport industry;</w:t>
      </w:r>
    </w:p>
    <w:p w14:paraId="20855007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social and economic impact of road-related injury, trauma and death;</w:t>
      </w:r>
    </w:p>
    <w:p w14:paraId="355BD304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Efficient cost-recovered measures for industry stakeholders, including sub-contractors;</w:t>
      </w:r>
    </w:p>
    <w:p w14:paraId="1EBB1C51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impact of new technologies and advancements in freight distribution, vehicle design and road safety;</w:t>
      </w:r>
    </w:p>
    <w:p w14:paraId="0B3A1D6E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The importance of establishing a formal consultative relationship between the road transport industry and all levels of government in Australia; and</w:t>
      </w:r>
    </w:p>
    <w:p w14:paraId="4F87BBCF" w14:textId="77777777" w:rsidR="00454CA3" w:rsidRDefault="00454CA3" w:rsidP="00454CA3">
      <w:pPr>
        <w:pStyle w:val="ListParagraph"/>
        <w:numPr>
          <w:ilvl w:val="0"/>
          <w:numId w:val="1"/>
        </w:numPr>
      </w:pPr>
      <w:r>
        <w:t>Other related matters</w:t>
      </w:r>
    </w:p>
    <w:p w14:paraId="253CCC8B" w14:textId="77777777" w:rsidR="00454CA3" w:rsidRDefault="00454CA3" w:rsidP="00454CA3"/>
    <w:p w14:paraId="3C8D8360" w14:textId="77777777" w:rsidR="00A339CE" w:rsidRDefault="00454CA3">
      <w:bookmarkStart w:id="0" w:name="_GoBack"/>
      <w:bookmarkEnd w:id="0"/>
    </w:p>
    <w:sectPr w:rsidR="00A339CE" w:rsidSect="00B242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2FD6"/>
    <w:multiLevelType w:val="hybridMultilevel"/>
    <w:tmpl w:val="54BE4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454CA3"/>
    <w:rsid w:val="005D7D3A"/>
    <w:rsid w:val="00674D23"/>
    <w:rsid w:val="009061FF"/>
    <w:rsid w:val="00B2429A"/>
    <w:rsid w:val="00DC0A93"/>
    <w:rsid w:val="00E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09FB9"/>
  <w14:defaultImageDpi w14:val="32767"/>
  <w15:chartTrackingRefBased/>
  <w15:docId w15:val="{07E1481D-8793-054A-ACA6-7C0A529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Crosbie</dc:creator>
  <cp:keywords/>
  <dc:description/>
  <cp:lastModifiedBy>Judith Crosbie</cp:lastModifiedBy>
  <cp:revision>1</cp:revision>
  <dcterms:created xsi:type="dcterms:W3CDTF">2019-08-08T00:05:00Z</dcterms:created>
  <dcterms:modified xsi:type="dcterms:W3CDTF">2019-08-08T00:05:00Z</dcterms:modified>
</cp:coreProperties>
</file>